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3971925</wp:posOffset>
            </wp:positionH>
            <wp:positionV relativeFrom="paragraph">
              <wp:posOffset>285750</wp:posOffset>
            </wp:positionV>
            <wp:extent cx="2070100" cy="518795"/>
            <wp:effectExtent b="0" l="0" r="0" t="0"/>
            <wp:wrapNone/>
            <wp:docPr descr="D:\01 Google Drive\VMMI\Logók - Arculat\01 VMMI\vmmi-logo_2015_feher_fekete_.jpg" id="1" name="image1.jpg"/>
            <a:graphic>
              <a:graphicData uri="http://schemas.openxmlformats.org/drawingml/2006/picture">
                <pic:pic>
                  <pic:nvPicPr>
                    <pic:cNvPr descr="D:\01 Google Drive\VMMI\Logók - Arculat\01 VMMI\vmmi-logo_2015_feher_fekete_.jpg" id="0" name="image1.jpg"/>
                    <pic:cNvPicPr preferRelativeResize="0"/>
                  </pic:nvPicPr>
                  <pic:blipFill>
                    <a:blip r:embed="rId6"/>
                    <a:srcRect b="0" l="0" r="0" t="0"/>
                    <a:stretch>
                      <a:fillRect/>
                    </a:stretch>
                  </pic:blipFill>
                  <pic:spPr>
                    <a:xfrm>
                      <a:off x="0" y="0"/>
                      <a:ext cx="2070100" cy="5187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037590" cy="939165"/>
            <wp:effectExtent b="0" l="0" r="0" t="0"/>
            <wp:wrapNone/>
            <wp:docPr descr="D:\01 Google Drive\VMMI\Logók - Arculat\vmmsz_logo_negyzetes.jpg" id="2" name="image2.jpg"/>
            <a:graphic>
              <a:graphicData uri="http://schemas.openxmlformats.org/drawingml/2006/picture">
                <pic:pic>
                  <pic:nvPicPr>
                    <pic:cNvPr descr="D:\01 Google Drive\VMMI\Logók - Arculat\vmmsz_logo_negyzetes.jpg" id="0" name="image2.jpg"/>
                    <pic:cNvPicPr preferRelativeResize="0"/>
                  </pic:nvPicPr>
                  <pic:blipFill>
                    <a:blip r:embed="rId7"/>
                    <a:srcRect b="0" l="0" r="0" t="0"/>
                    <a:stretch>
                      <a:fillRect/>
                    </a:stretch>
                  </pic:blipFill>
                  <pic:spPr>
                    <a:xfrm>
                      <a:off x="0" y="0"/>
                      <a:ext cx="1037590" cy="9391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1214438</wp:posOffset>
            </wp:positionH>
            <wp:positionV relativeFrom="paragraph">
              <wp:posOffset>0</wp:posOffset>
            </wp:positionV>
            <wp:extent cx="2585692" cy="977464"/>
            <wp:effectExtent b="0" l="0" r="0" t="0"/>
            <wp:wrapNone/>
            <wp:docPr descr="Logo&#10;&#10;Description automatically generated" id="3" name="image3.png"/>
            <a:graphic>
              <a:graphicData uri="http://schemas.openxmlformats.org/drawingml/2006/picture">
                <pic:pic>
                  <pic:nvPicPr>
                    <pic:cNvPr descr="Logo&#10;&#10;Description automatically generated" id="0" name="image3.png"/>
                    <pic:cNvPicPr preferRelativeResize="0"/>
                  </pic:nvPicPr>
                  <pic:blipFill>
                    <a:blip r:embed="rId8"/>
                    <a:srcRect b="0" l="0" r="0" t="0"/>
                    <a:stretch>
                      <a:fillRect/>
                    </a:stretch>
                  </pic:blipFill>
                  <pic:spPr>
                    <a:xfrm>
                      <a:off x="0" y="0"/>
                      <a:ext cx="2585692" cy="977464"/>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MAdT 2026. felhívás – a Vajdasági Magyar Amatőr és Diákszínjátszók Tizennyolcadik Tábora</w:t>
      </w:r>
    </w:p>
    <w:p w:rsidR="00000000" w:rsidDel="00000000" w:rsidP="00000000" w:rsidRDefault="00000000" w:rsidRPr="00000000" w14:paraId="00000009">
      <w:pPr>
        <w:jc w:val="center"/>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A">
      <w:pPr>
        <w:spacing w:after="160" w:line="259"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Színjátszást, rendezést kedvelő, közös alkotásra és kísérletezésre nyitott fiatalokat várunk idén nyáron is Zentára, a Vajdasági Magyar Amatőr és Diákszínjátszók Tizenhetedik Táborába, a MAdT-ba, amely </w:t>
      </w:r>
      <w:r w:rsidDel="00000000" w:rsidR="00000000" w:rsidRPr="00000000">
        <w:rPr>
          <w:rFonts w:ascii="Times New Roman" w:cs="Times New Roman" w:eastAsia="Times New Roman" w:hAnsi="Times New Roman"/>
          <w:b w:val="1"/>
          <w:bCs w:val="1"/>
          <w:sz w:val="24"/>
          <w:szCs w:val="24"/>
          <w:rtl w:val="0"/>
        </w:rPr>
        <w:t xml:space="preserve">2026. július 2–9-ig </w:t>
      </w:r>
      <w:r w:rsidDel="00000000" w:rsidR="00000000" w:rsidRPr="00000000">
        <w:rPr>
          <w:rFonts w:ascii="Times New Roman" w:cs="Times New Roman" w:eastAsia="Times New Roman" w:hAnsi="Times New Roman"/>
          <w:sz w:val="24"/>
          <w:szCs w:val="24"/>
          <w:rtl w:val="0"/>
        </w:rPr>
        <w:t xml:space="preserve">tart. A tábor elsősorban azoknak a fiataloknak kínál (15 éves kortól) tartalmas feltöltődést, akik a Vajdaság különböző pontjain működő színjátszó társulatoknak már tagjai, vagy – ha még nem azok – szívesen kapcsolódnának be egy-egy csoport munkájába.</w:t>
      </w:r>
    </w:p>
    <w:p w:rsidR="00000000" w:rsidDel="00000000" w:rsidP="00000000" w:rsidRDefault="00000000" w:rsidRPr="00000000" w14:paraId="0000000B">
      <w:pPr>
        <w:spacing w:after="160" w:line="259"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60" w:line="259" w:lineRule="auto"/>
        <w:ind w:right="-449.527559055116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Az idei évben is 4 csoportban 35 fő részvételével zajlik majd a tábor.</w:t>
      </w:r>
    </w:p>
    <w:p w:rsidR="00000000" w:rsidDel="00000000" w:rsidP="00000000" w:rsidRDefault="00000000" w:rsidRPr="00000000" w14:paraId="0000000D">
      <w:pPr>
        <w:spacing w:after="160" w:line="259"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Képzettség, előtudás nem szükséges, csak jókedv, és a szerepbe lépés varázsára való nyitottság. </w:t>
      </w:r>
    </w:p>
    <w:p w:rsidR="00000000" w:rsidDel="00000000" w:rsidP="00000000" w:rsidRDefault="00000000" w:rsidRPr="00000000" w14:paraId="0000000F">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szívesen próbálod ki magad más bőrébe bújva, ha szeretsz játszani, ha vonz a színpadra lépés lehetősége, ha tudod, hogy előadást szeretnél készíteni a csapatoddal a következő évadban, itt a helyed! A tábor amatőr rendezőknek és a dramaturgia iránt érdeklődőknek</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szól. Gyakorlottaknak éppúgy, mint kezdőknek – felső korhatár nélkül!</w:t>
      </w:r>
    </w:p>
    <w:p w:rsidR="00000000" w:rsidDel="00000000" w:rsidP="00000000" w:rsidRDefault="00000000" w:rsidRPr="00000000" w14:paraId="00000010">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MAdT a színházról, az alkotás szabadságáról és a kitartó munkáról szól. Olyan szakemberek lesznek az oktatók, akiktől érdemes színházat tanulni.</w:t>
      </w:r>
    </w:p>
    <w:p w:rsidR="00000000" w:rsidDel="00000000" w:rsidP="00000000" w:rsidRDefault="00000000" w:rsidRPr="00000000" w14:paraId="00000012">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right="-449.5275590551165"/>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 következő NÉGY csoportba lehet jelentkezni:</w:t>
      </w:r>
    </w:p>
    <w:p w:rsidR="00000000" w:rsidDel="00000000" w:rsidP="00000000" w:rsidRDefault="00000000" w:rsidRPr="00000000" w14:paraId="00000014">
      <w:pPr>
        <w:spacing w:line="240" w:lineRule="auto"/>
        <w:ind w:right="-449.5275590551165"/>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5">
      <w:pPr>
        <w:spacing w:line="240" w:lineRule="auto"/>
        <w:ind w:right="-449.5275590551165"/>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6">
      <w:pPr>
        <w:numPr>
          <w:ilvl w:val="0"/>
          <w:numId w:val="2"/>
        </w:numPr>
        <w:spacing w:line="240" w:lineRule="auto"/>
        <w:ind w:left="720" w:right="-449.5275590551165" w:hanging="360"/>
        <w:jc w:val="both"/>
        <w:rPr>
          <w:rFonts w:ascii="Calibri" w:cs="Calibri" w:eastAsia="Calibri" w:hAnsi="Calibri"/>
          <w:b w:val="1"/>
          <w:bCs w:val="1"/>
          <w:sz w:val="24"/>
          <w:szCs w:val="24"/>
        </w:rPr>
      </w:pPr>
      <w:r w:rsidDel="00000000" w:rsidR="00000000" w:rsidRPr="00000000">
        <w:rPr>
          <w:rFonts w:ascii="Times New Roman" w:cs="Times New Roman" w:eastAsia="Times New Roman" w:hAnsi="Times New Roman"/>
          <w:sz w:val="24"/>
          <w:szCs w:val="24"/>
          <w:rtl w:val="0"/>
        </w:rPr>
        <w:t xml:space="preserve">RENDEZŐI CSOPORT – azoknak a fiataloknak, középkorúaknak és időseknek, akik rendeztek már amatőr előadást, és úgy érzik, szívesen tanulnának a szakmáról annak érdekében, hogy a legközelebbi előadás készítése során szembejövő akadályokat könnyedebben ugorhassák át; és azoknak, akik még csak kacérkodnak a gondolattal, hogy ezen a területen is kipróbálják magukat.</w:t>
        <w:br w:type="textWrapping"/>
      </w:r>
      <w:r w:rsidDel="00000000" w:rsidR="00000000" w:rsidRPr="00000000">
        <w:rPr>
          <w:rFonts w:ascii="Times New Roman" w:cs="Times New Roman" w:eastAsia="Times New Roman" w:hAnsi="Times New Roman"/>
          <w:b w:val="1"/>
          <w:bCs w:val="1"/>
          <w:sz w:val="24"/>
          <w:szCs w:val="24"/>
          <w:rtl w:val="0"/>
        </w:rPr>
        <w:t xml:space="preserve">18 évestől idősebb</w:t>
      </w:r>
      <w:r w:rsidDel="00000000" w:rsidR="00000000" w:rsidRPr="00000000">
        <w:rPr>
          <w:rFonts w:ascii="Times New Roman" w:cs="Times New Roman" w:eastAsia="Times New Roman" w:hAnsi="Times New Roman"/>
          <w:sz w:val="24"/>
          <w:szCs w:val="24"/>
          <w:rtl w:val="0"/>
        </w:rPr>
        <w:t xml:space="preserve"> jelentkezőket fogadunk. (max. 7 fő)</w:t>
      </w:r>
    </w:p>
    <w:p w:rsidR="00000000" w:rsidDel="00000000" w:rsidP="00000000" w:rsidRDefault="00000000" w:rsidRPr="00000000" w14:paraId="00000017">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right="-449.5275590551165" w:hanging="360"/>
        <w:jc w:val="both"/>
        <w:rPr>
          <w:rFonts w:ascii="Times New Roman" w:cs="Times New Roman" w:eastAsia="Times New Roman" w:hAnsi="Times New Roman"/>
          <w:b w:val="1"/>
          <w:bCs w:val="1"/>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DRÁMA- ÉS FORGATÓKÖNYVÍRÁS-, DRAMATURGIACSOPORT – azoknak, akik szívesen megismerkednének a klasszikus, kortárs és filmes dramaturgiák elméletével és gyakorlatával, mert mindig is érdekelte őket, hogy mitől működik egy jelenet, mitől üt igazán nagyot egy fordulat, vagy nem hagyja őket nyugodni, hogy mitől hat rájuk olyan zsigerien vagy épp felszínesen egy film vagy előadás. A tábor folyamán a résztvevők saját ötleteiből kiindulva, egymást inspirálva írnak drámákat vagy forgatókönyveket, s közben a gyakorlatban ismerik meg a színházi és filmes műfajok szerkezeti felépítését és hatásmechanizmusait. 15 évestől idősebb jelentkezőket fogadunk. (max. 8 fő)</w:t>
      </w:r>
    </w:p>
    <w:p w:rsidR="00000000" w:rsidDel="00000000" w:rsidP="00000000" w:rsidRDefault="00000000" w:rsidRPr="00000000" w14:paraId="00000019">
      <w:pPr>
        <w:numPr>
          <w:ilvl w:val="0"/>
          <w:numId w:val="1"/>
        </w:numPr>
        <w:spacing w:line="240" w:lineRule="auto"/>
        <w:ind w:left="720" w:right="-449.5275590551165" w:hanging="360"/>
        <w:jc w:val="both"/>
        <w:rPr>
          <w:rFonts w:ascii="Calibri" w:cs="Calibri" w:eastAsia="Calibri" w:hAnsi="Calibri"/>
          <w:b w:val="1"/>
          <w:bCs w:val="1"/>
          <w:sz w:val="24"/>
          <w:szCs w:val="24"/>
        </w:rPr>
      </w:pPr>
      <w:r w:rsidDel="00000000" w:rsidR="00000000" w:rsidRPr="00000000">
        <w:rPr>
          <w:rFonts w:ascii="Times New Roman" w:cs="Times New Roman" w:eastAsia="Times New Roman" w:hAnsi="Times New Roman"/>
          <w:sz w:val="24"/>
          <w:szCs w:val="24"/>
          <w:rtl w:val="0"/>
        </w:rPr>
        <w:t xml:space="preserve">2 SZÍNJÁTSZÓ CSOPORT – a színjátszás szerelmesei intenzív műhelymunkára számíthatnak, ahol elmerülhetnek a szerepalkotás rejtelmeiben, és fejleszthetik, bővíthetik, csiszolhatják a színpadi jelenléthez nélkülözhetlen színészi eszköztárat.</w:t>
        <w:br w:type="textWrapping"/>
        <w:t xml:space="preserve">Jelentkezni </w:t>
      </w:r>
      <w:r w:rsidDel="00000000" w:rsidR="00000000" w:rsidRPr="00000000">
        <w:rPr>
          <w:rFonts w:ascii="Times New Roman" w:cs="Times New Roman" w:eastAsia="Times New Roman" w:hAnsi="Times New Roman"/>
          <w:b w:val="1"/>
          <w:bCs w:val="1"/>
          <w:sz w:val="24"/>
          <w:szCs w:val="24"/>
          <w:rtl w:val="0"/>
        </w:rPr>
        <w:t xml:space="preserve">15 éves kortól</w:t>
      </w:r>
      <w:r w:rsidDel="00000000" w:rsidR="00000000" w:rsidRPr="00000000">
        <w:rPr>
          <w:rFonts w:ascii="Times New Roman" w:cs="Times New Roman" w:eastAsia="Times New Roman" w:hAnsi="Times New Roman"/>
          <w:sz w:val="24"/>
          <w:szCs w:val="24"/>
          <w:rtl w:val="0"/>
        </w:rPr>
        <w:t xml:space="preserve"> lehet. (max. 10-10 fő)</w:t>
      </w:r>
    </w:p>
    <w:p w:rsidR="00000000" w:rsidDel="00000000" w:rsidP="00000000" w:rsidRDefault="00000000" w:rsidRPr="00000000" w14:paraId="0000001A">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csoportfoglalkozásokon kívül további szakmai és csapatépítő programelemekkel készülünk a résztvevőknek: reményeink szerint már hagyományosan idén is kilátogatunk a Tanyaszínház próbafolyamatára, csapatépítő játékokat játszunk, beszédtechnikázunk, közösen énekelünk, fény- és hangtechnikázunk stb. A kísérő programelemek ugyanúgy a tábor hasznos szakmai részei, mint ahogyan a csoportmunkák is: célja a kapcsolatépítés és a színházi alkotómunka minél szélesebb körű megismerése, a hozzá kapcsolódó kompetenciák fejlesztése, így minden csoport munkájának fontos kiegészítője, minden táborozó részvételével zajlik. </w:t>
      </w:r>
    </w:p>
    <w:p w:rsidR="00000000" w:rsidDel="00000000" w:rsidP="00000000" w:rsidRDefault="00000000" w:rsidRPr="00000000" w14:paraId="0000001C">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right="-449.527559055116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Oktatóink 2026-ban:</w:t>
      </w:r>
    </w:p>
    <w:p w:rsidR="00000000" w:rsidDel="00000000" w:rsidP="00000000" w:rsidRDefault="00000000" w:rsidRPr="00000000" w14:paraId="0000001E">
      <w:pPr>
        <w:spacing w:line="240" w:lineRule="auto"/>
        <w:ind w:right="-449.527559055116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spacing w:line="240" w:lineRule="auto"/>
        <w:ind w:left="284" w:right="-449.527559055116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rendezői csoport vezetője:</w:t>
      </w:r>
    </w:p>
    <w:p w:rsidR="00000000" w:rsidDel="00000000" w:rsidP="00000000" w:rsidRDefault="00000000" w:rsidRPr="00000000" w14:paraId="00000020">
      <w:pPr>
        <w:spacing w:before="60" w:line="240" w:lineRule="auto"/>
        <w:ind w:left="284" w:right="-449.5275590551165"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CRNKOVITY GABRIELLA – színművész, rendező</w:t>
      </w:r>
    </w:p>
    <w:p w:rsidR="00000000" w:rsidDel="00000000" w:rsidP="00000000" w:rsidRDefault="00000000" w:rsidRPr="00000000" w14:paraId="00000021">
      <w:pPr>
        <w:spacing w:before="60" w:line="240" w:lineRule="auto"/>
        <w:ind w:left="284" w:right="-449.5275590551165"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22">
      <w:pPr>
        <w:spacing w:line="240" w:lineRule="auto"/>
        <w:ind w:left="284" w:right="-449.527559055116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b w:val="1"/>
          <w:bCs w:val="1"/>
          <w:sz w:val="24"/>
          <w:szCs w:val="24"/>
          <w:rtl w:val="0"/>
        </w:rPr>
        <w:t xml:space="preserve"> dráma- és forgatókönyvírás-, dramaturgcsoport</w:t>
      </w:r>
      <w:r w:rsidDel="00000000" w:rsidR="00000000" w:rsidRPr="00000000">
        <w:rPr>
          <w:rFonts w:ascii="Times New Roman" w:cs="Times New Roman" w:eastAsia="Times New Roman" w:hAnsi="Times New Roman"/>
          <w:b w:val="1"/>
          <w:bCs w:val="1"/>
          <w:sz w:val="24"/>
          <w:szCs w:val="24"/>
          <w:rtl w:val="0"/>
        </w:rPr>
        <w:t xml:space="preserve"> vezetője:</w:t>
      </w:r>
    </w:p>
    <w:p w:rsidR="00000000" w:rsidDel="00000000" w:rsidP="00000000" w:rsidRDefault="00000000" w:rsidRPr="00000000" w14:paraId="00000023">
      <w:pPr>
        <w:spacing w:line="240" w:lineRule="auto"/>
        <w:ind w:left="284" w:right="-449.5275590551165"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 DR. OLÁH TAMÁS – teatrológus, dramaturg, az Újvidéki Egyetem Művészeti Akadémiájának tanára</w:t>
      </w:r>
    </w:p>
    <w:p w:rsidR="00000000" w:rsidDel="00000000" w:rsidP="00000000" w:rsidRDefault="00000000" w:rsidRPr="00000000" w14:paraId="00000024">
      <w:pPr>
        <w:spacing w:line="240" w:lineRule="auto"/>
        <w:ind w:left="284" w:right="-449.5275590551165"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25">
      <w:pPr>
        <w:spacing w:before="60" w:line="240" w:lineRule="auto"/>
        <w:ind w:left="284" w:right="-449.527559055116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színjátszó csoportok vezetői:</w:t>
      </w:r>
    </w:p>
    <w:p w:rsidR="00000000" w:rsidDel="00000000" w:rsidP="00000000" w:rsidRDefault="00000000" w:rsidRPr="00000000" w14:paraId="00000026">
      <w:pPr>
        <w:spacing w:before="60" w:line="240" w:lineRule="auto"/>
        <w:ind w:left="284" w:right="-449.527559055116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202124"/>
          <w:sz w:val="24"/>
          <w:szCs w:val="24"/>
          <w:rtl w:val="0"/>
        </w:rPr>
        <w:t xml:space="preserve">• JANKOVICS ANDREA – színművész</w:t>
      </w:r>
      <w:r w:rsidDel="00000000" w:rsidR="00000000" w:rsidRPr="00000000">
        <w:rPr>
          <w:rtl w:val="0"/>
        </w:rPr>
      </w:r>
    </w:p>
    <w:p w:rsidR="00000000" w:rsidDel="00000000" w:rsidP="00000000" w:rsidRDefault="00000000" w:rsidRPr="00000000" w14:paraId="00000027">
      <w:pPr>
        <w:spacing w:before="60" w:line="240" w:lineRule="auto"/>
        <w:ind w:left="284" w:right="-449.5275590551165"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 • HAJDÚ TAMÁS – színművész        </w:t>
      </w:r>
    </w:p>
    <w:p w:rsidR="00000000" w:rsidDel="00000000" w:rsidP="00000000" w:rsidRDefault="00000000" w:rsidRPr="00000000" w14:paraId="00000028">
      <w:pPr>
        <w:spacing w:before="60" w:line="240" w:lineRule="auto"/>
        <w:ind w:left="284" w:right="-449.5275590551165" w:firstLine="0"/>
        <w:jc w:val="both"/>
        <w:rPr>
          <w:rFonts w:ascii="Times New Roman" w:cs="Times New Roman" w:eastAsia="Times New Roman" w:hAnsi="Times New Roman"/>
          <w:color w:val="202124"/>
          <w:sz w:val="24"/>
          <w:szCs w:val="24"/>
        </w:rPr>
      </w:pPr>
      <w:r w:rsidDel="00000000" w:rsidR="00000000" w:rsidRPr="00000000">
        <w:rPr>
          <w:rtl w:val="0"/>
        </w:rPr>
      </w:r>
    </w:p>
    <w:p w:rsidR="00000000" w:rsidDel="00000000" w:rsidP="00000000" w:rsidRDefault="00000000" w:rsidRPr="00000000" w14:paraId="00000029">
      <w:pPr>
        <w:spacing w:before="60" w:line="240" w:lineRule="auto"/>
        <w:ind w:left="284" w:right="-449.5275590551165"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Beszédtanár:</w:t>
      </w:r>
    </w:p>
    <w:p w:rsidR="00000000" w:rsidDel="00000000" w:rsidP="00000000" w:rsidRDefault="00000000" w:rsidRPr="00000000" w14:paraId="0000002A">
      <w:pPr>
        <w:spacing w:before="60" w:line="240" w:lineRule="auto"/>
        <w:ind w:left="284" w:right="-449.5275590551165"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 RAFFAI TELECSKI ÁGNES – az Újvidéki Egyetem Művészeti Akadémiájának tanára</w:t>
      </w:r>
    </w:p>
    <w:p w:rsidR="00000000" w:rsidDel="00000000" w:rsidP="00000000" w:rsidRDefault="00000000" w:rsidRPr="00000000" w14:paraId="0000002B">
      <w:pPr>
        <w:spacing w:before="60" w:line="240" w:lineRule="auto"/>
        <w:ind w:left="284" w:right="-449.5275590551165"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2C">
      <w:pPr>
        <w:spacing w:before="60" w:line="240" w:lineRule="auto"/>
        <w:ind w:left="284" w:right="-449.5275590551165"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line="240" w:lineRule="auto"/>
        <w:ind w:right="-449.5275590551165"/>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Jelentkezési határidő:</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2026. június 1.</w:t>
      </w:r>
      <w:r w:rsidDel="00000000" w:rsidR="00000000" w:rsidRPr="00000000">
        <w:rPr>
          <w:rFonts w:ascii="Times New Roman" w:cs="Times New Roman" w:eastAsia="Times New Roman" w:hAnsi="Times New Roman"/>
          <w:color w:val="202124"/>
          <w:sz w:val="24"/>
          <w:szCs w:val="24"/>
          <w:highlight w:val="white"/>
          <w:rtl w:val="0"/>
        </w:rPr>
        <w:t xml:space="preserve">, hétfő, ugyanakkor amennyiben 1-1 csoport eléri a maximális létszámot, a csoportba való jelentkezést már korábban is lezárhatjuk!</w:t>
      </w:r>
    </w:p>
    <w:p w:rsidR="00000000" w:rsidDel="00000000" w:rsidP="00000000" w:rsidRDefault="00000000" w:rsidRPr="00000000" w14:paraId="0000002E">
      <w:pPr>
        <w:spacing w:line="240" w:lineRule="auto"/>
        <w:ind w:right="-449.5275590551165"/>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ind w:right="-449.5275590551165"/>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30">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jelentkezési lapot </w:t>
      </w:r>
      <w:hyperlink r:id="rId9">
        <w:r w:rsidDel="00000000" w:rsidR="00000000" w:rsidRPr="00000000">
          <w:rPr>
            <w:rFonts w:ascii="Times New Roman" w:cs="Times New Roman" w:eastAsia="Times New Roman" w:hAnsi="Times New Roman"/>
            <w:color w:val="1155cc"/>
            <w:sz w:val="24"/>
            <w:szCs w:val="24"/>
            <w:u w:val="single"/>
            <w:rtl w:val="0"/>
          </w:rPr>
          <w:t xml:space="preserve">ide kattintva</w:t>
        </w:r>
      </w:hyperlink>
      <w:r w:rsidDel="00000000" w:rsidR="00000000" w:rsidRPr="00000000">
        <w:rPr>
          <w:rFonts w:ascii="Times New Roman" w:cs="Times New Roman" w:eastAsia="Times New Roman" w:hAnsi="Times New Roman"/>
          <w:sz w:val="24"/>
          <w:szCs w:val="24"/>
          <w:rtl w:val="0"/>
        </w:rPr>
        <w:t xml:space="preserve"> tölthetik ki.</w:t>
      </w:r>
    </w:p>
    <w:p w:rsidR="00000000" w:rsidDel="00000000" w:rsidP="00000000" w:rsidRDefault="00000000" w:rsidRPr="00000000" w14:paraId="00000031">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tábor költségeihez való</w:t>
      </w:r>
      <w:r w:rsidDel="00000000" w:rsidR="00000000" w:rsidRPr="00000000">
        <w:rPr>
          <w:rFonts w:ascii="Times New Roman" w:cs="Times New Roman" w:eastAsia="Times New Roman" w:hAnsi="Times New Roman"/>
          <w:b w:val="1"/>
          <w:bCs w:val="1"/>
          <w:sz w:val="24"/>
          <w:szCs w:val="24"/>
          <w:rtl w:val="0"/>
        </w:rPr>
        <w:t xml:space="preserve"> hozzájárulás díja 9000 dinár</w:t>
      </w:r>
      <w:r w:rsidDel="00000000" w:rsidR="00000000" w:rsidRPr="00000000">
        <w:rPr>
          <w:rFonts w:ascii="Times New Roman" w:cs="Times New Roman" w:eastAsia="Times New Roman" w:hAnsi="Times New Roman"/>
          <w:sz w:val="24"/>
          <w:szCs w:val="24"/>
          <w:rtl w:val="0"/>
        </w:rPr>
        <w:t xml:space="preserve">, melyet a tábor első napján készpénzben lehet befizetni. </w:t>
      </w:r>
    </w:p>
    <w:p w:rsidR="00000000" w:rsidDel="00000000" w:rsidP="00000000" w:rsidRDefault="00000000" w:rsidRPr="00000000" w14:paraId="00000034">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tábor ideje alatt a résztvevők a Bolyai Tehetséggondozó Gimnázium és Kollégiumban teljes ellátást (napi három étkezést és szállást) kapnak.</w:t>
      </w:r>
    </w:p>
    <w:p w:rsidR="00000000" w:rsidDel="00000000" w:rsidP="00000000" w:rsidRDefault="00000000" w:rsidRPr="00000000" w14:paraId="00000037">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right="-449.527559055116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right="-449.52755905511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Partnereink a tehetséggondozásban:</w:t>
      </w:r>
      <w:r w:rsidDel="00000000" w:rsidR="00000000" w:rsidRPr="00000000">
        <w:rPr>
          <w:rFonts w:ascii="Times New Roman" w:cs="Times New Roman" w:eastAsia="Times New Roman" w:hAnsi="Times New Roman"/>
          <w:sz w:val="24"/>
          <w:szCs w:val="24"/>
          <w:rtl w:val="0"/>
        </w:rPr>
        <w:t xml:space="preserve"> Bolyai Tehetséggondozó Gimnázium és Kollégium; Thurzó Lajos Művelődési-Oktatási Központ (Zenta); Zentai Magyar Kamaraszínház (Zenta).</w:t>
      </w:r>
    </w:p>
    <w:p w:rsidR="00000000" w:rsidDel="00000000" w:rsidP="00000000" w:rsidRDefault="00000000" w:rsidRPr="00000000" w14:paraId="0000003C">
      <w:pPr>
        <w:spacing w:line="240" w:lineRule="auto"/>
        <w:ind w:right="-449.527559055116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spacing w:line="240" w:lineRule="auto"/>
        <w:ind w:right="-449.527559055116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pBdr>
          <w:top w:color="000000" w:space="1" w:sz="4" w:val="single"/>
        </w:pBdr>
        <w:spacing w:line="276" w:lineRule="auto"/>
        <w:ind w:right="-449.5275590551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tábor a Magyar Nemzeti Tanács kiemelt jelentőségű ifjúsági rendezvénye</w:t>
      </w:r>
      <w:r w:rsidDel="00000000" w:rsidR="00000000" w:rsidRPr="00000000">
        <w:rPr>
          <w:rtl w:val="0"/>
        </w:rPr>
      </w:r>
    </w:p>
    <w:p w:rsidR="00000000" w:rsidDel="00000000" w:rsidP="00000000" w:rsidRDefault="00000000" w:rsidRPr="00000000" w14:paraId="0000003F">
      <w:pPr>
        <w:spacing w:before="120" w:line="259" w:lineRule="auto"/>
        <w:ind w:right="-449.5275590551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Szervezők: </w:t>
      </w:r>
      <w:r w:rsidDel="00000000" w:rsidR="00000000" w:rsidRPr="00000000">
        <w:rPr>
          <w:rFonts w:ascii="Times New Roman" w:cs="Times New Roman" w:eastAsia="Times New Roman" w:hAnsi="Times New Roman"/>
          <w:sz w:val="24"/>
          <w:szCs w:val="24"/>
          <w:rtl w:val="0"/>
        </w:rPr>
        <w:t xml:space="preserve">Vajdasági Magyar Művelődési Intézet • Vajdasági Magyar Művelődési Szövetség</w:t>
      </w:r>
    </w:p>
    <w:p w:rsidR="00000000" w:rsidDel="00000000" w:rsidP="00000000" w:rsidRDefault="00000000" w:rsidRPr="00000000" w14:paraId="00000040">
      <w:pPr>
        <w:spacing w:before="120" w:line="259" w:lineRule="auto"/>
        <w:ind w:right="-449.5275590551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Bővebb információ:</w:t>
      </w:r>
      <w:r w:rsidDel="00000000" w:rsidR="00000000" w:rsidRPr="00000000">
        <w:rPr>
          <w:rtl w:val="0"/>
        </w:rPr>
      </w:r>
    </w:p>
    <w:p w:rsidR="00000000" w:rsidDel="00000000" w:rsidP="00000000" w:rsidRDefault="00000000" w:rsidRPr="00000000" w14:paraId="00000041">
      <w:pPr>
        <w:spacing w:after="60" w:before="60" w:line="240" w:lineRule="auto"/>
        <w:ind w:right="-449.5275590551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Virág Kiss Anita – </w:t>
      </w:r>
      <w:r w:rsidDel="00000000" w:rsidR="00000000" w:rsidRPr="00000000">
        <w:rPr>
          <w:rFonts w:ascii="Times New Roman" w:cs="Times New Roman" w:eastAsia="Times New Roman" w:hAnsi="Times New Roman"/>
          <w:sz w:val="24"/>
          <w:szCs w:val="24"/>
          <w:rtl w:val="0"/>
        </w:rPr>
        <w:t xml:space="preserve">062 566 213 • </w:t>
      </w:r>
      <w:r w:rsidDel="00000000" w:rsidR="00000000" w:rsidRPr="00000000">
        <w:rPr>
          <w:rFonts w:ascii="Times New Roman" w:cs="Times New Roman" w:eastAsia="Times New Roman" w:hAnsi="Times New Roman"/>
          <w:color w:val="1155cc"/>
          <w:sz w:val="24"/>
          <w:szCs w:val="24"/>
          <w:highlight w:val="white"/>
          <w:u w:val="single"/>
          <w:rtl w:val="0"/>
        </w:rPr>
        <w:t xml:space="preserve">kissanita91@gmail.com</w:t>
      </w:r>
      <w:r w:rsidDel="00000000" w:rsidR="00000000" w:rsidRPr="00000000">
        <w:rPr>
          <w:rFonts w:ascii="Times New Roman" w:cs="Times New Roman" w:eastAsia="Times New Roman" w:hAnsi="Times New Roman"/>
          <w:sz w:val="24"/>
          <w:szCs w:val="24"/>
          <w:rtl w:val="0"/>
        </w:rPr>
        <w:t xml:space="preserve">   (VMMI)</w:t>
      </w:r>
    </w:p>
    <w:p w:rsidR="00000000" w:rsidDel="00000000" w:rsidP="00000000" w:rsidRDefault="00000000" w:rsidRPr="00000000" w14:paraId="00000042">
      <w:pPr>
        <w:spacing w:after="60" w:before="60" w:line="240" w:lineRule="auto"/>
        <w:ind w:right="-449.5275590551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Kocsis Tímea – </w:t>
      </w:r>
      <w:r w:rsidDel="00000000" w:rsidR="00000000" w:rsidRPr="00000000">
        <w:rPr>
          <w:rFonts w:ascii="Times New Roman" w:cs="Times New Roman" w:eastAsia="Times New Roman" w:hAnsi="Times New Roman"/>
          <w:sz w:val="24"/>
          <w:szCs w:val="24"/>
          <w:rtl w:val="0"/>
        </w:rPr>
        <w:t xml:space="preserve">069 5541 216</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color w:val="0b57d0"/>
          <w:sz w:val="24"/>
          <w:szCs w:val="24"/>
          <w:highlight w:val="white"/>
          <w:u w:val="single"/>
          <w:rtl w:val="0"/>
        </w:rPr>
        <w:t xml:space="preserve">szinjatszas@vmmsz.org</w:t>
      </w:r>
      <w:r w:rsidDel="00000000" w:rsidR="00000000" w:rsidRPr="00000000">
        <w:rPr>
          <w:rFonts w:ascii="Times New Roman" w:cs="Times New Roman" w:eastAsia="Times New Roman" w:hAnsi="Times New Roman"/>
          <w:sz w:val="24"/>
          <w:szCs w:val="24"/>
          <w:rtl w:val="0"/>
        </w:rPr>
        <w:t xml:space="preserve">   (VMMSZ)</w:t>
      </w:r>
    </w:p>
    <w:p w:rsidR="00000000" w:rsidDel="00000000" w:rsidP="00000000" w:rsidRDefault="00000000" w:rsidRPr="00000000" w14:paraId="00000043">
      <w:pPr>
        <w:spacing w:after="60" w:before="60" w:line="240" w:lineRule="auto"/>
        <w:ind w:right="-449.52755905511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Hernyák Zsóka – </w:t>
      </w:r>
      <w:r w:rsidDel="00000000" w:rsidR="00000000" w:rsidRPr="00000000">
        <w:rPr>
          <w:rFonts w:ascii="Times New Roman" w:cs="Times New Roman" w:eastAsia="Times New Roman" w:hAnsi="Times New Roman"/>
          <w:sz w:val="24"/>
          <w:szCs w:val="24"/>
          <w:rtl w:val="0"/>
        </w:rPr>
        <w:t xml:space="preserve">062 1446 591 • </w:t>
      </w:r>
      <w:hyperlink r:id="rId10">
        <w:r w:rsidDel="00000000" w:rsidR="00000000" w:rsidRPr="00000000">
          <w:rPr>
            <w:rFonts w:ascii="Times New Roman" w:cs="Times New Roman" w:eastAsia="Times New Roman" w:hAnsi="Times New Roman"/>
            <w:color w:val="1155cc"/>
            <w:sz w:val="24"/>
            <w:szCs w:val="24"/>
            <w:u w:val="single"/>
            <w:rtl w:val="0"/>
          </w:rPr>
          <w:t xml:space="preserve">hernyak.zsoka@gmail.com</w:t>
        </w:r>
      </w:hyperlink>
      <w:r w:rsidDel="00000000" w:rsidR="00000000" w:rsidRPr="00000000">
        <w:rPr>
          <w:rFonts w:ascii="Times New Roman" w:cs="Times New Roman" w:eastAsia="Times New Roman" w:hAnsi="Times New Roman"/>
          <w:sz w:val="24"/>
          <w:szCs w:val="24"/>
          <w:rtl w:val="0"/>
        </w:rPr>
        <w:t xml:space="preserve">  (VMMI)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ernyak.zsoka@gmail.com" TargetMode="External"/><Relationship Id="rId9" Type="http://schemas.openxmlformats.org/officeDocument/2006/relationships/hyperlink" Target="https://forms.gle/v7pJU4Kq5ALjLR2F8"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